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AB" w:rsidRDefault="00261BAB">
      <w:hyperlink r:id="rId4" w:anchor="Descriptive_Ethics" w:history="1">
        <w:r>
          <w:rPr>
            <w:rStyle w:val="Hyperlink"/>
          </w:rPr>
          <w:t>https://www.gktoday.in/gk/four-branches-of-ethics/#Descriptive_Ethics</w:t>
        </w:r>
      </w:hyperlink>
    </w:p>
    <w:p w:rsidR="00261BAB" w:rsidRDefault="00261BAB"/>
    <w:sectPr w:rsidR="00261BAB" w:rsidSect="00971B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sjSzNDOwtDQ1NDAxNjdW0lEKTi0uzszPAykwrAUAycQY+iwAAAA="/>
  </w:docVars>
  <w:rsids>
    <w:rsidRoot w:val="00D1628A"/>
    <w:rsid w:val="00261BAB"/>
    <w:rsid w:val="00971B67"/>
    <w:rsid w:val="00D16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B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16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ktoday.in/gk/four-branches-of-ethi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RaoArif</dc:creator>
  <cp:lastModifiedBy>RaoArif</cp:lastModifiedBy>
  <cp:revision>1</cp:revision>
  <dcterms:created xsi:type="dcterms:W3CDTF">2020-03-26T11:34:00Z</dcterms:created>
  <dcterms:modified xsi:type="dcterms:W3CDTF">2020-03-26T11:45:00Z</dcterms:modified>
</cp:coreProperties>
</file>